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7B" w:rsidRDefault="00516291" w:rsidP="00FE0424">
      <w:r>
        <w:t>CIAB/ 1 (112</w:t>
      </w:r>
      <w:r w:rsidR="00671800">
        <w:t xml:space="preserve">)/14-15                   </w:t>
      </w:r>
      <w:r w:rsidR="00671800">
        <w:tab/>
      </w:r>
      <w:r w:rsidR="00671800">
        <w:tab/>
      </w:r>
      <w:r w:rsidR="00671800">
        <w:tab/>
      </w:r>
      <w:r w:rsidR="00FE0424">
        <w:tab/>
        <w:t xml:space="preserve">             </w:t>
      </w:r>
      <w:r w:rsidR="00FE0424">
        <w:tab/>
      </w:r>
      <w:r w:rsidR="00FE0424">
        <w:tab/>
        <w:t xml:space="preserve">            4</w:t>
      </w:r>
      <w:r w:rsidR="00FE0424" w:rsidRPr="00FE0424">
        <w:rPr>
          <w:vertAlign w:val="superscript"/>
        </w:rPr>
        <w:t>th</w:t>
      </w:r>
      <w:r w:rsidR="00FE0424">
        <w:t xml:space="preserve"> December</w:t>
      </w:r>
      <w:r w:rsidR="00671800">
        <w:t xml:space="preserve"> 2014</w:t>
      </w:r>
    </w:p>
    <w:p w:rsidR="00DE14C9" w:rsidRDefault="00DE14C9" w:rsidP="00671800">
      <w:pPr>
        <w:spacing w:after="0" w:line="240" w:lineRule="auto"/>
      </w:pPr>
    </w:p>
    <w:p w:rsidR="006C7F48" w:rsidRDefault="006C7F48" w:rsidP="00671800">
      <w:pPr>
        <w:spacing w:after="0" w:line="240" w:lineRule="auto"/>
      </w:pPr>
    </w:p>
    <w:p w:rsidR="006C7F48" w:rsidRDefault="006C7F48" w:rsidP="00671800">
      <w:pPr>
        <w:spacing w:after="0" w:line="240" w:lineRule="auto"/>
      </w:pPr>
    </w:p>
    <w:p w:rsidR="006C7F48" w:rsidRDefault="006C7F48"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941282">
        <w:rPr>
          <w:rFonts w:cs="Calibri"/>
          <w:sz w:val="20"/>
          <w:szCs w:val="20"/>
          <w:lang w:val="en-IN" w:eastAsia="en-IN"/>
        </w:rPr>
        <w:t xml:space="preserve"> </w:t>
      </w:r>
      <w:r w:rsidR="005D6324">
        <w:rPr>
          <w:rFonts w:cs="Calibri"/>
          <w:b/>
          <w:bCs/>
          <w:sz w:val="20"/>
          <w:szCs w:val="20"/>
          <w:lang w:val="en-IN" w:eastAsia="en-IN"/>
        </w:rPr>
        <w:t>26</w:t>
      </w:r>
      <w:r w:rsidR="00941282" w:rsidRPr="00941282">
        <w:rPr>
          <w:rFonts w:cs="Calibri"/>
          <w:b/>
          <w:bCs/>
          <w:sz w:val="20"/>
          <w:szCs w:val="20"/>
          <w:lang w:val="en-IN" w:eastAsia="en-IN"/>
        </w:rPr>
        <w:t>.12.</w:t>
      </w:r>
      <w:r w:rsidRPr="00966357">
        <w:rPr>
          <w:rFonts w:cs="Mangal"/>
          <w:b/>
          <w:bCs/>
          <w:sz w:val="20"/>
          <w:szCs w:val="20"/>
          <w:lang w:val="en-IN" w:eastAsia="en-IN" w:bidi="hi-IN"/>
        </w:rPr>
        <w:t>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697AEE">
        <w:rPr>
          <w:rFonts w:ascii="Arial" w:hAnsi="Arial" w:cs="Arial"/>
          <w:b/>
          <w:bCs/>
          <w:sz w:val="20"/>
          <w:szCs w:val="20"/>
          <w:u w:val="single"/>
          <w:lang w:val="en-IN" w:eastAsia="en-IN"/>
        </w:rPr>
        <w:t>Refrigerated Centrifuge</w:t>
      </w:r>
      <w:r>
        <w:rPr>
          <w:rFonts w:ascii="Arial" w:hAnsi="Arial" w:cs="Arial"/>
          <w:b/>
          <w:bCs/>
          <w:sz w:val="20"/>
          <w:szCs w:val="20"/>
          <w:u w:val="single"/>
          <w:lang w:val="en-IN" w:eastAsia="en-IN"/>
        </w:rPr>
        <w:t xml:space="preserve"> </w:t>
      </w:r>
      <w:r w:rsidRPr="005B768D">
        <w:rPr>
          <w:rFonts w:ascii="Century Gothic" w:hAnsi="Century Gothic"/>
          <w:b/>
          <w:sz w:val="20"/>
          <w:szCs w:val="20"/>
          <w:u w:val="single"/>
        </w:rPr>
        <w:t xml:space="preserve">due </w:t>
      </w:r>
      <w:r w:rsidR="00C3057B">
        <w:rPr>
          <w:rFonts w:ascii="Century Gothic" w:hAnsi="Century Gothic"/>
          <w:b/>
          <w:sz w:val="20"/>
          <w:szCs w:val="20"/>
          <w:u w:val="single"/>
        </w:rPr>
        <w:t xml:space="preserve">on </w:t>
      </w:r>
      <w:r w:rsidR="00FE0424">
        <w:rPr>
          <w:rFonts w:ascii="Century Gothic" w:hAnsi="Century Gothic"/>
          <w:b/>
          <w:sz w:val="20"/>
          <w:szCs w:val="20"/>
          <w:u w:val="single"/>
        </w:rPr>
        <w:t>26</w:t>
      </w:r>
      <w:r w:rsidR="00941282">
        <w:rPr>
          <w:rFonts w:ascii="Century Gothic" w:hAnsi="Century Gothic"/>
          <w:b/>
          <w:sz w:val="20"/>
          <w:szCs w:val="20"/>
          <w:u w:val="single"/>
        </w:rPr>
        <w:t>.12</w:t>
      </w:r>
      <w:r w:rsidR="00C3057B">
        <w:rPr>
          <w:rFonts w:ascii="Century Gothic" w:hAnsi="Century Gothic"/>
          <w:b/>
          <w:sz w:val="20"/>
          <w:szCs w:val="20"/>
          <w:u w:val="single"/>
        </w:rPr>
        <w:t>.</w:t>
      </w:r>
      <w:r w:rsidRPr="00734F4A">
        <w:rPr>
          <w:rFonts w:ascii="Century Gothic" w:hAnsi="Century Gothic"/>
          <w:b/>
          <w:sz w:val="20"/>
          <w:szCs w:val="20"/>
          <w:u w:val="single"/>
        </w:rPr>
        <w:t>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Instrument Name:</w:t>
      </w:r>
      <w:r w:rsidR="00B4635D">
        <w:rPr>
          <w:rFonts w:ascii="Arial" w:hAnsi="Arial" w:cs="Arial"/>
          <w:sz w:val="20"/>
          <w:szCs w:val="20"/>
          <w:lang w:val="en-IN" w:eastAsia="en-IN"/>
        </w:rPr>
        <w:t xml:space="preserve"> </w:t>
      </w:r>
      <w:r w:rsidR="00B4635D">
        <w:rPr>
          <w:rFonts w:ascii="Arial" w:hAnsi="Arial" w:cs="Arial"/>
          <w:b/>
          <w:bCs/>
          <w:sz w:val="20"/>
          <w:szCs w:val="20"/>
          <w:u w:val="single"/>
          <w:lang w:val="en-IN" w:eastAsia="en-IN"/>
        </w:rPr>
        <w:t xml:space="preserve">Refrigerated </w:t>
      </w:r>
      <w:proofErr w:type="spellStart"/>
      <w:r w:rsidR="00B4635D">
        <w:rPr>
          <w:rFonts w:ascii="Arial" w:hAnsi="Arial" w:cs="Arial"/>
          <w:b/>
          <w:bCs/>
          <w:sz w:val="20"/>
          <w:szCs w:val="20"/>
          <w:u w:val="single"/>
          <w:lang w:val="en-IN" w:eastAsia="en-IN"/>
        </w:rPr>
        <w:t>Microcentrifuge</w:t>
      </w:r>
      <w:proofErr w:type="spellEnd"/>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C3057B" w:rsidRPr="00F300BB" w:rsidRDefault="00C3057B" w:rsidP="00C3057B">
      <w:pPr>
        <w:jc w:val="center"/>
        <w:rPr>
          <w:rFonts w:ascii="Times New Roman" w:hAnsi="Times New Roman"/>
          <w:b/>
          <w:sz w:val="24"/>
          <w:szCs w:val="24"/>
          <w:u w:val="single"/>
        </w:rPr>
      </w:pPr>
      <w:r w:rsidRPr="00F300BB">
        <w:rPr>
          <w:rFonts w:ascii="Times New Roman" w:hAnsi="Times New Roman"/>
          <w:b/>
          <w:sz w:val="24"/>
          <w:szCs w:val="24"/>
          <w:u w:val="single"/>
        </w:rPr>
        <w:t xml:space="preserve">Technical Specifications of </w:t>
      </w:r>
      <w:r w:rsidR="00B4635D">
        <w:rPr>
          <w:rFonts w:ascii="Times New Roman" w:hAnsi="Times New Roman"/>
          <w:b/>
          <w:sz w:val="24"/>
          <w:szCs w:val="24"/>
          <w:u w:val="single"/>
        </w:rPr>
        <w:t xml:space="preserve">Refrigerated </w:t>
      </w:r>
      <w:proofErr w:type="spellStart"/>
      <w:r w:rsidR="00B4635D">
        <w:rPr>
          <w:rFonts w:ascii="Times New Roman" w:hAnsi="Times New Roman"/>
          <w:b/>
          <w:sz w:val="24"/>
          <w:szCs w:val="24"/>
          <w:u w:val="single"/>
        </w:rPr>
        <w:t>Microcentrifuge</w:t>
      </w:r>
      <w:proofErr w:type="spellEnd"/>
    </w:p>
    <w:p w:rsidR="00C3057B" w:rsidRPr="00160E8A" w:rsidRDefault="00C3057B" w:rsidP="00C3057B">
      <w:pPr>
        <w:rPr>
          <w:rFonts w:ascii="Times New Roman" w:hAnsi="Times New Roman"/>
          <w:b/>
          <w:sz w:val="24"/>
          <w:szCs w:val="24"/>
          <w:lang w:val="en-IN"/>
        </w:rPr>
      </w:pPr>
      <w:r w:rsidRPr="00160E8A">
        <w:rPr>
          <w:rFonts w:ascii="Times New Roman" w:hAnsi="Times New Roman"/>
          <w:b/>
          <w:sz w:val="24"/>
          <w:szCs w:val="24"/>
          <w:lang w:val="en-IN"/>
        </w:rPr>
        <w:t>Quantity: One</w:t>
      </w:r>
    </w:p>
    <w:p w:rsidR="00C3057B" w:rsidRDefault="00C3057B" w:rsidP="00C3057B">
      <w:pPr>
        <w:rPr>
          <w:rFonts w:ascii="Times New Roman" w:hAnsi="Times New Roman"/>
          <w:b/>
          <w:sz w:val="24"/>
          <w:szCs w:val="24"/>
          <w:lang w:val="en-IN"/>
        </w:rPr>
      </w:pPr>
      <w:r w:rsidRPr="00160E8A">
        <w:rPr>
          <w:rFonts w:ascii="Times New Roman" w:hAnsi="Times New Roman"/>
          <w:b/>
          <w:sz w:val="24"/>
          <w:szCs w:val="24"/>
          <w:lang w:val="en-IN"/>
        </w:rPr>
        <w:t>Technical specifications:</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50"/>
      </w:tblGrid>
      <w:tr w:rsidR="00B4635D" w:rsidTr="007353CB">
        <w:trPr>
          <w:trHeight w:val="36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Operating temperature range</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-10°C or less and maximum 40 °C or more.</w:t>
            </w:r>
          </w:p>
        </w:tc>
      </w:tr>
      <w:tr w:rsidR="00B4635D" w:rsidTr="007353CB">
        <w:trPr>
          <w:trHeight w:val="38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Rotor option</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At least one or more.</w:t>
            </w:r>
          </w:p>
        </w:tc>
      </w:tr>
      <w:tr w:rsidR="00B4635D" w:rsidTr="007353CB">
        <w:trPr>
          <w:trHeight w:val="38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xml:space="preserve">Centrifuge capacity </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18 x 2.0 mL or more.</w:t>
            </w:r>
          </w:p>
          <w:p w:rsidR="00B4635D" w:rsidRDefault="00B4635D" w:rsidP="007353CB">
            <w:pPr>
              <w:rPr>
                <w:rFonts w:ascii="Times New Roman" w:hAnsi="Times New Roman"/>
                <w:sz w:val="24"/>
                <w:szCs w:val="24"/>
                <w:lang w:val="en-IN"/>
              </w:rPr>
            </w:pPr>
            <w:r>
              <w:rPr>
                <w:rFonts w:ascii="Times New Roman" w:hAnsi="Times New Roman"/>
                <w:sz w:val="24"/>
                <w:szCs w:val="24"/>
                <w:lang w:val="en-IN"/>
              </w:rPr>
              <w:t xml:space="preserve">  20 x 1.5 mL or more.</w:t>
            </w:r>
          </w:p>
        </w:tc>
      </w:tr>
      <w:tr w:rsidR="00B4635D" w:rsidTr="007353CB">
        <w:trPr>
          <w:trHeight w:val="36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Max. centrifugation speed</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13, 000 rpm or more.</w:t>
            </w:r>
          </w:p>
        </w:tc>
      </w:tr>
      <w:tr w:rsidR="00B4635D" w:rsidTr="007353CB">
        <w:trPr>
          <w:trHeight w:val="38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Control panel</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Key pad or soft touch button.</w:t>
            </w:r>
          </w:p>
        </w:tc>
      </w:tr>
      <w:tr w:rsidR="00B4635D" w:rsidTr="007353CB">
        <w:trPr>
          <w:trHeight w:val="38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Rotor temperature</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Minimum 5 °C or less at maximum speed.</w:t>
            </w:r>
          </w:p>
        </w:tc>
      </w:tr>
      <w:tr w:rsidR="00B4635D" w:rsidTr="007353CB">
        <w:trPr>
          <w:trHeight w:val="365"/>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lastRenderedPageBreak/>
              <w:t>Noise level at max. speed</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xml:space="preserve">: ≤ 75 dB </w:t>
            </w:r>
          </w:p>
        </w:tc>
      </w:tr>
      <w:tr w:rsidR="00B4635D" w:rsidTr="007353CB">
        <w:trPr>
          <w:trHeight w:val="417"/>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Refrigerant type</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R404A or 134A (CFC free refrigerant)</w:t>
            </w:r>
          </w:p>
        </w:tc>
      </w:tr>
      <w:tr w:rsidR="00B4635D" w:rsidTr="007353CB">
        <w:trPr>
          <w:trHeight w:val="750"/>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Design</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xml:space="preserve">: In-built condensation drain facility, stainless steel rotor bowl, table top and space saving design.  </w:t>
            </w:r>
          </w:p>
        </w:tc>
      </w:tr>
      <w:tr w:rsidR="00B4635D" w:rsidTr="007353CB">
        <w:trPr>
          <w:trHeight w:val="908"/>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Other features</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xml:space="preserve">: Digital display of important parameters like centrifugation rpm and time, adjustable speed and timer function, auto lid open function after run end and during emergency. </w:t>
            </w:r>
          </w:p>
        </w:tc>
      </w:tr>
      <w:tr w:rsidR="00B4635D" w:rsidTr="007353CB">
        <w:trPr>
          <w:trHeight w:val="401"/>
        </w:trPr>
        <w:tc>
          <w:tcPr>
            <w:tcW w:w="3114"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Warranty</w:t>
            </w:r>
          </w:p>
        </w:tc>
        <w:tc>
          <w:tcPr>
            <w:tcW w:w="6250" w:type="dxa"/>
          </w:tcPr>
          <w:p w:rsidR="00B4635D" w:rsidRDefault="00B4635D" w:rsidP="007353CB">
            <w:pPr>
              <w:rPr>
                <w:rFonts w:ascii="Times New Roman" w:hAnsi="Times New Roman"/>
                <w:sz w:val="24"/>
                <w:szCs w:val="24"/>
                <w:lang w:val="en-IN"/>
              </w:rPr>
            </w:pPr>
            <w:r>
              <w:rPr>
                <w:rFonts w:ascii="Times New Roman" w:hAnsi="Times New Roman"/>
                <w:sz w:val="24"/>
                <w:szCs w:val="24"/>
                <w:lang w:val="en-IN"/>
              </w:rPr>
              <w:t>: 3 years or more.</w:t>
            </w:r>
          </w:p>
        </w:tc>
      </w:tr>
    </w:tbl>
    <w:p w:rsidR="00B4635D" w:rsidRDefault="00B4635D" w:rsidP="00B4635D">
      <w:pPr>
        <w:rPr>
          <w:rFonts w:ascii="Times New Roman" w:hAnsi="Times New Roman"/>
          <w:b/>
          <w:sz w:val="24"/>
          <w:szCs w:val="24"/>
        </w:rPr>
      </w:pPr>
    </w:p>
    <w:p w:rsidR="00B4635D" w:rsidRPr="00160E8A" w:rsidRDefault="00B4635D" w:rsidP="00B4635D">
      <w:pPr>
        <w:rPr>
          <w:rFonts w:ascii="Times New Roman" w:hAnsi="Times New Roman"/>
          <w:b/>
          <w:sz w:val="24"/>
          <w:szCs w:val="24"/>
        </w:rPr>
      </w:pPr>
      <w:r w:rsidRPr="00160E8A">
        <w:rPr>
          <w:rFonts w:ascii="Times New Roman" w:hAnsi="Times New Roman"/>
          <w:b/>
          <w:sz w:val="24"/>
          <w:szCs w:val="24"/>
        </w:rPr>
        <w:t>General</w:t>
      </w:r>
      <w:r>
        <w:rPr>
          <w:rFonts w:ascii="Times New Roman" w:hAnsi="Times New Roman"/>
          <w:b/>
          <w:sz w:val="24"/>
          <w:szCs w:val="24"/>
        </w:rPr>
        <w:t xml:space="preserve"> conditions</w:t>
      </w:r>
      <w:r w:rsidRPr="00160E8A">
        <w:rPr>
          <w:rFonts w:ascii="Times New Roman" w:hAnsi="Times New Roman"/>
          <w:b/>
          <w:sz w:val="24"/>
          <w:szCs w:val="24"/>
        </w:rPr>
        <w:t>:</w:t>
      </w:r>
    </w:p>
    <w:p w:rsidR="00B4635D" w:rsidRPr="00F300BB" w:rsidRDefault="00B4635D" w:rsidP="00B4635D">
      <w:pPr>
        <w:pStyle w:val="ListParagraph"/>
        <w:numPr>
          <w:ilvl w:val="0"/>
          <w:numId w:val="37"/>
        </w:numPr>
        <w:tabs>
          <w:tab w:val="clear" w:pos="360"/>
        </w:tabs>
        <w:spacing w:after="0"/>
        <w:ind w:left="425" w:hanging="425"/>
        <w:rPr>
          <w:rFonts w:ascii="Times New Roman" w:hAnsi="Times New Roman"/>
          <w:color w:val="000000" w:themeColor="text1"/>
          <w:sz w:val="24"/>
          <w:szCs w:val="24"/>
        </w:rPr>
      </w:pPr>
      <w:r w:rsidRPr="00F300BB">
        <w:rPr>
          <w:rFonts w:ascii="Times New Roman" w:hAnsi="Times New Roman"/>
          <w:color w:val="000000" w:themeColor="text1"/>
          <w:sz w:val="24"/>
          <w:szCs w:val="24"/>
        </w:rPr>
        <w:t xml:space="preserve">The </w:t>
      </w:r>
      <w:r>
        <w:rPr>
          <w:rFonts w:ascii="Times New Roman" w:hAnsi="Times New Roman"/>
          <w:color w:val="000000" w:themeColor="text1"/>
          <w:sz w:val="24"/>
          <w:szCs w:val="24"/>
        </w:rPr>
        <w:t>distributor</w:t>
      </w:r>
      <w:r w:rsidRPr="00F300BB">
        <w:rPr>
          <w:rFonts w:ascii="Times New Roman" w:hAnsi="Times New Roman"/>
          <w:color w:val="000000" w:themeColor="text1"/>
          <w:sz w:val="24"/>
          <w:szCs w:val="24"/>
        </w:rPr>
        <w:t xml:space="preserve"> must provide authorization letter from the manufacturer.</w:t>
      </w:r>
    </w:p>
    <w:p w:rsidR="00B4635D" w:rsidRDefault="00B4635D" w:rsidP="00B4635D">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stand alone with respect to all functionalities of machine and its accessories</w:t>
      </w:r>
      <w:r>
        <w:rPr>
          <w:rStyle w:val="CharacterStyle1"/>
          <w:rFonts w:eastAsia="Calibri"/>
          <w:color w:val="000000" w:themeColor="text1"/>
          <w:sz w:val="24"/>
          <w:szCs w:val="24"/>
        </w:rPr>
        <w:t xml:space="preserve"> adapters (1.5 mL and 2.0 mL) with lids/closures and</w:t>
      </w:r>
      <w:r w:rsidRPr="00F300BB">
        <w:rPr>
          <w:rStyle w:val="CharacterStyle1"/>
          <w:rFonts w:eastAsia="Calibri"/>
          <w:color w:val="000000" w:themeColor="text1"/>
          <w:sz w:val="24"/>
          <w:szCs w:val="24"/>
        </w:rPr>
        <w:t xml:space="preserve"> peripherals</w:t>
      </w:r>
      <w:r>
        <w:rPr>
          <w:rStyle w:val="CharacterStyle1"/>
          <w:rFonts w:eastAsia="Calibri"/>
          <w:color w:val="000000" w:themeColor="text1"/>
          <w:sz w:val="24"/>
          <w:szCs w:val="24"/>
        </w:rPr>
        <w:t xml:space="preserve"> like lubricants and rotor keys.</w:t>
      </w:r>
    </w:p>
    <w:p w:rsidR="00B4635D" w:rsidRDefault="00B4635D" w:rsidP="00B4635D">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The manufacturing firm should have ISO/CE certification.</w:t>
      </w:r>
    </w:p>
    <w:p w:rsidR="00B4635D" w:rsidRPr="00F300BB" w:rsidRDefault="00B4635D" w:rsidP="00B4635D">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The authorized distributor must provide a list of installations</w:t>
      </w:r>
      <w:r w:rsidRPr="00F300BB">
        <w:rPr>
          <w:rStyle w:val="CharacterStyle1"/>
          <w:rFonts w:eastAsia="Calibri"/>
          <w:color w:val="000000" w:themeColor="text1"/>
          <w:sz w:val="24"/>
          <w:szCs w:val="24"/>
        </w:rPr>
        <w:t xml:space="preserve"> in India (particularly Govt. of India R&amp; D organizations) and a copy of at least </w:t>
      </w:r>
      <w:r>
        <w:rPr>
          <w:rStyle w:val="CharacterStyle1"/>
          <w:rFonts w:eastAsia="Calibri"/>
          <w:color w:val="000000" w:themeColor="text1"/>
          <w:sz w:val="24"/>
          <w:szCs w:val="24"/>
        </w:rPr>
        <w:t xml:space="preserve">3 </w:t>
      </w:r>
      <w:r w:rsidRPr="00F300BB">
        <w:rPr>
          <w:rStyle w:val="CharacterStyle1"/>
          <w:rFonts w:eastAsia="Calibri"/>
          <w:color w:val="000000" w:themeColor="text1"/>
          <w:sz w:val="24"/>
          <w:szCs w:val="24"/>
        </w:rPr>
        <w:t xml:space="preserve">latest purchase orders of the </w:t>
      </w:r>
      <w:r>
        <w:rPr>
          <w:rStyle w:val="CharacterStyle1"/>
          <w:rFonts w:eastAsia="Calibri"/>
          <w:color w:val="000000" w:themeColor="text1"/>
          <w:sz w:val="24"/>
          <w:szCs w:val="24"/>
        </w:rPr>
        <w:t>same/</w:t>
      </w:r>
      <w:r w:rsidRPr="00F300BB">
        <w:rPr>
          <w:rStyle w:val="CharacterStyle1"/>
          <w:rFonts w:eastAsia="Calibri"/>
          <w:color w:val="000000" w:themeColor="text1"/>
          <w:sz w:val="24"/>
          <w:szCs w:val="24"/>
        </w:rPr>
        <w:t>similar model.</w:t>
      </w:r>
    </w:p>
    <w:p w:rsidR="00B4635D" w:rsidRPr="009128A2" w:rsidRDefault="00B4635D" w:rsidP="00B4635D">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suited to Indian system of electrical inputs (220</w:t>
      </w:r>
      <w:r>
        <w:rPr>
          <w:rStyle w:val="CharacterStyle1"/>
          <w:rFonts w:eastAsia="Calibri"/>
          <w:color w:val="000000" w:themeColor="text1"/>
          <w:sz w:val="24"/>
          <w:szCs w:val="24"/>
        </w:rPr>
        <w:t>-240</w:t>
      </w:r>
      <w:r w:rsidRPr="00F300BB">
        <w:rPr>
          <w:rStyle w:val="CharacterStyle1"/>
          <w:rFonts w:eastAsia="Calibri"/>
          <w:color w:val="000000" w:themeColor="text1"/>
          <w:sz w:val="24"/>
          <w:szCs w:val="24"/>
        </w:rPr>
        <w:t>V/ 50</w:t>
      </w:r>
      <w:r>
        <w:rPr>
          <w:rStyle w:val="CharacterStyle1"/>
          <w:rFonts w:eastAsia="Calibri"/>
          <w:color w:val="000000" w:themeColor="text1"/>
          <w:sz w:val="24"/>
          <w:szCs w:val="24"/>
        </w:rPr>
        <w:t>/60</w:t>
      </w:r>
      <w:r w:rsidRPr="00F300BB">
        <w:rPr>
          <w:rStyle w:val="CharacterStyle1"/>
          <w:rFonts w:eastAsia="Calibri"/>
          <w:color w:val="000000" w:themeColor="text1"/>
          <w:sz w:val="24"/>
          <w:szCs w:val="24"/>
        </w:rPr>
        <w:t>Hz).</w:t>
      </w:r>
    </w:p>
    <w:p w:rsidR="00B4635D" w:rsidRPr="00F300BB" w:rsidRDefault="00B4635D" w:rsidP="00B4635D">
      <w:pPr>
        <w:pStyle w:val="Style2"/>
        <w:kinsoku w:val="0"/>
        <w:autoSpaceDE/>
        <w:autoSpaceDN/>
        <w:spacing w:before="36" w:line="273" w:lineRule="auto"/>
        <w:ind w:left="426"/>
        <w:rPr>
          <w:rStyle w:val="CharacterStyle1"/>
          <w:rFonts w:eastAsia="Calibri"/>
          <w:sz w:val="24"/>
          <w:szCs w:val="24"/>
        </w:rPr>
      </w:pPr>
    </w:p>
    <w:p w:rsidR="00B4635D" w:rsidRDefault="00B4635D" w:rsidP="00B4635D">
      <w:pPr>
        <w:jc w:val="both"/>
        <w:rPr>
          <w:rFonts w:ascii="Times New Roman" w:hAnsi="Times New Roman"/>
          <w:bCs/>
          <w:iCs/>
          <w:sz w:val="24"/>
          <w:szCs w:val="24"/>
        </w:rPr>
      </w:pPr>
      <w:r w:rsidRPr="00160E8A">
        <w:rPr>
          <w:rFonts w:ascii="Times New Roman" w:hAnsi="Times New Roman"/>
          <w:bCs/>
          <w:iCs/>
          <w:sz w:val="24"/>
          <w:szCs w:val="24"/>
        </w:rPr>
        <w:t>Failing in compliance may cause cancellation of the bid without any further notice/information.</w:t>
      </w:r>
    </w:p>
    <w:p w:rsidR="00B4635D" w:rsidRPr="00160E8A" w:rsidRDefault="00B4635D" w:rsidP="00C3057B">
      <w:pPr>
        <w:rPr>
          <w:rFonts w:ascii="Times New Roman" w:hAnsi="Times New Roman"/>
          <w:b/>
          <w:sz w:val="24"/>
          <w:szCs w:val="24"/>
          <w:lang w:val="en-IN"/>
        </w:rPr>
      </w:pPr>
    </w:p>
    <w:p w:rsidR="00C3057B" w:rsidRPr="00F300BB" w:rsidRDefault="00C3057B" w:rsidP="00C3057B">
      <w:pPr>
        <w:pStyle w:val="Style2"/>
        <w:kinsoku w:val="0"/>
        <w:autoSpaceDE/>
        <w:autoSpaceDN/>
        <w:spacing w:before="36" w:line="273" w:lineRule="auto"/>
        <w:ind w:left="426"/>
        <w:rPr>
          <w:rStyle w:val="CharacterStyle1"/>
          <w:rFonts w:eastAsia="Calibri"/>
          <w:sz w:val="24"/>
          <w:szCs w:val="24"/>
        </w:rPr>
      </w:pPr>
    </w:p>
    <w:p w:rsidR="00671800" w:rsidRPr="00C3057B" w:rsidRDefault="00671800" w:rsidP="00C3057B">
      <w:pPr>
        <w:rPr>
          <w:rFonts w:ascii="Arial" w:hAnsi="Arial" w:cs="Arial"/>
          <w:color w:val="0066CC"/>
          <w:sz w:val="20"/>
          <w:szCs w:val="20"/>
          <w:u w:val="single"/>
        </w:rPr>
      </w:pPr>
      <w:r w:rsidRPr="00C3057B">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C3057B">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The warranty period of an item shall commence from the date of receipt of the item in good working condition and satisfactory installation/commissioning/demo</w:t>
      </w:r>
      <w:r w:rsidR="00BB46F6">
        <w:rPr>
          <w:rFonts w:ascii="Arial" w:hAnsi="Arial" w:cs="Arial"/>
          <w:sz w:val="20"/>
          <w:szCs w:val="20"/>
        </w:rPr>
        <w:t>nstration at the project site Center of Innovative and Applied Bioproces</w:t>
      </w:r>
      <w:r w:rsidR="0027385C">
        <w:rPr>
          <w:rFonts w:ascii="Arial" w:hAnsi="Arial" w:cs="Arial"/>
          <w:sz w:val="20"/>
          <w:szCs w:val="20"/>
        </w:rPr>
        <w:t>s</w:t>
      </w:r>
      <w:r w:rsidR="00BB46F6">
        <w:rPr>
          <w:rFonts w:ascii="Arial" w:hAnsi="Arial" w:cs="Arial"/>
          <w:sz w:val="20"/>
          <w:szCs w:val="20"/>
        </w:rPr>
        <w:t>ing</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Default="00FE334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bookmarkStart w:id="0" w:name="_GoBack"/>
      <w:bookmarkEnd w:id="0"/>
    </w:p>
    <w:sectPr w:rsidR="00CE33BE" w:rsidSect="00C3057B">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61" w:rsidRDefault="001B1E61">
      <w:pPr>
        <w:spacing w:after="0" w:line="240" w:lineRule="auto"/>
      </w:pPr>
      <w:r>
        <w:separator/>
      </w:r>
    </w:p>
  </w:endnote>
  <w:endnote w:type="continuationSeparator" w:id="0">
    <w:p w:rsidR="001B1E61" w:rsidRDefault="001B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293107"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4E0774">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61" w:rsidRDefault="001B1E61">
      <w:pPr>
        <w:spacing w:after="0" w:line="240" w:lineRule="auto"/>
      </w:pPr>
      <w:r>
        <w:separator/>
      </w:r>
    </w:p>
  </w:footnote>
  <w:footnote w:type="continuationSeparator" w:id="0">
    <w:p w:rsidR="001B1E61" w:rsidRDefault="001B1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293107" w:rsidP="00B64ED4">
                          <w:pPr>
                            <w:pStyle w:val="Header"/>
                            <w:spacing w:line="276" w:lineRule="auto"/>
                            <w:jc w:val="center"/>
                            <w:rPr>
                              <w:rFonts w:ascii="Arial" w:hAnsi="Arial" w:cs="Arial"/>
                              <w:b/>
                              <w:color w:val="92D050"/>
                              <w:sz w:val="20"/>
                            </w:rPr>
                          </w:pPr>
                        </w:p>
                        <w:p w:rsidR="00B64ED4" w:rsidRDefault="00293107" w:rsidP="00B64ED4">
                          <w:pPr>
                            <w:pStyle w:val="Header"/>
                            <w:spacing w:line="276" w:lineRule="auto"/>
                            <w:jc w:val="center"/>
                            <w:rPr>
                              <w:rFonts w:ascii="Arial" w:hAnsi="Arial" w:cs="Arial"/>
                              <w:b/>
                              <w:color w:val="92D050"/>
                              <w:sz w:val="20"/>
                            </w:rPr>
                          </w:pPr>
                        </w:p>
                        <w:p w:rsidR="00B64ED4" w:rsidRPr="00826ABB" w:rsidRDefault="00293107"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B12484" w:rsidP="00B64ED4">
                    <w:pPr>
                      <w:pStyle w:val="Header"/>
                      <w:spacing w:line="276" w:lineRule="auto"/>
                      <w:jc w:val="center"/>
                      <w:rPr>
                        <w:rFonts w:ascii="Arial" w:hAnsi="Arial" w:cs="Arial"/>
                        <w:b/>
                        <w:color w:val="92D050"/>
                        <w:sz w:val="20"/>
                      </w:rPr>
                    </w:pPr>
                  </w:p>
                  <w:p w:rsidR="00B64ED4" w:rsidRDefault="00B12484" w:rsidP="00B64ED4">
                    <w:pPr>
                      <w:pStyle w:val="Header"/>
                      <w:spacing w:line="276" w:lineRule="auto"/>
                      <w:jc w:val="center"/>
                      <w:rPr>
                        <w:rFonts w:ascii="Arial" w:hAnsi="Arial" w:cs="Arial"/>
                        <w:b/>
                        <w:color w:val="92D050"/>
                        <w:sz w:val="20"/>
                      </w:rPr>
                    </w:pPr>
                  </w:p>
                  <w:p w:rsidR="00B64ED4" w:rsidRPr="00826ABB" w:rsidRDefault="00B12484"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293107" w:rsidP="00B64ED4">
    <w:pPr>
      <w:pStyle w:val="Header"/>
    </w:pPr>
  </w:p>
  <w:p w:rsidR="00B64ED4" w:rsidRDefault="00293107" w:rsidP="00B64ED4">
    <w:pPr>
      <w:pStyle w:val="Header"/>
    </w:pPr>
  </w:p>
  <w:p w:rsidR="00B64ED4" w:rsidRDefault="00293107"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B1240AD"/>
    <w:multiLevelType w:val="hybridMultilevel"/>
    <w:tmpl w:val="F37095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5">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9">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3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3">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6">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8"/>
  </w:num>
  <w:num w:numId="2">
    <w:abstractNumId w:val="15"/>
  </w:num>
  <w:num w:numId="3">
    <w:abstractNumId w:val="22"/>
  </w:num>
  <w:num w:numId="4">
    <w:abstractNumId w:val="19"/>
  </w:num>
  <w:num w:numId="5">
    <w:abstractNumId w:val="23"/>
  </w:num>
  <w:num w:numId="6">
    <w:abstractNumId w:val="5"/>
  </w:num>
  <w:num w:numId="7">
    <w:abstractNumId w:val="17"/>
  </w:num>
  <w:num w:numId="8">
    <w:abstractNumId w:val="16"/>
  </w:num>
  <w:num w:numId="9">
    <w:abstractNumId w:val="26"/>
  </w:num>
  <w:num w:numId="10">
    <w:abstractNumId w:val="14"/>
  </w:num>
  <w:num w:numId="11">
    <w:abstractNumId w:val="37"/>
  </w:num>
  <w:num w:numId="12">
    <w:abstractNumId w:val="36"/>
  </w:num>
  <w:num w:numId="13">
    <w:abstractNumId w:val="3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0"/>
  </w:num>
  <w:num w:numId="18">
    <w:abstractNumId w:val="11"/>
  </w:num>
  <w:num w:numId="19">
    <w:abstractNumId w:val="3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5"/>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7"/>
  </w:num>
  <w:num w:numId="31">
    <w:abstractNumId w:val="33"/>
  </w:num>
  <w:num w:numId="32">
    <w:abstractNumId w:val="13"/>
  </w:num>
  <w:num w:numId="33">
    <w:abstractNumId w:val="4"/>
  </w:num>
  <w:num w:numId="34">
    <w:abstractNumId w:val="18"/>
  </w:num>
  <w:num w:numId="35">
    <w:abstractNumId w:val="12"/>
  </w:num>
  <w:num w:numId="36">
    <w:abstractNumId w:val="24"/>
  </w:num>
  <w:num w:numId="37">
    <w:abstractNumId w:val="32"/>
  </w:num>
  <w:num w:numId="38">
    <w:abstractNumId w:val="2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32643"/>
    <w:rsid w:val="00084654"/>
    <w:rsid w:val="00121ECB"/>
    <w:rsid w:val="00146A61"/>
    <w:rsid w:val="001862D2"/>
    <w:rsid w:val="00192D96"/>
    <w:rsid w:val="00196AD5"/>
    <w:rsid w:val="001B1E61"/>
    <w:rsid w:val="001D5845"/>
    <w:rsid w:val="00217DC2"/>
    <w:rsid w:val="00264F91"/>
    <w:rsid w:val="0027385C"/>
    <w:rsid w:val="00293107"/>
    <w:rsid w:val="00295C15"/>
    <w:rsid w:val="002A53D3"/>
    <w:rsid w:val="002E0B17"/>
    <w:rsid w:val="003349DC"/>
    <w:rsid w:val="003B588D"/>
    <w:rsid w:val="003E36BA"/>
    <w:rsid w:val="003F0832"/>
    <w:rsid w:val="00415950"/>
    <w:rsid w:val="0045343B"/>
    <w:rsid w:val="004E0774"/>
    <w:rsid w:val="004F79F9"/>
    <w:rsid w:val="00516291"/>
    <w:rsid w:val="00527EC3"/>
    <w:rsid w:val="0055022E"/>
    <w:rsid w:val="00555485"/>
    <w:rsid w:val="00586ACB"/>
    <w:rsid w:val="005A083E"/>
    <w:rsid w:val="005B3270"/>
    <w:rsid w:val="005D6324"/>
    <w:rsid w:val="005F5B2D"/>
    <w:rsid w:val="00671800"/>
    <w:rsid w:val="00680C66"/>
    <w:rsid w:val="00697AEE"/>
    <w:rsid w:val="006A3F0F"/>
    <w:rsid w:val="006C7F48"/>
    <w:rsid w:val="006E6818"/>
    <w:rsid w:val="00705050"/>
    <w:rsid w:val="0073604C"/>
    <w:rsid w:val="00757A46"/>
    <w:rsid w:val="0076196A"/>
    <w:rsid w:val="007E40B6"/>
    <w:rsid w:val="0080429C"/>
    <w:rsid w:val="0080538A"/>
    <w:rsid w:val="00807834"/>
    <w:rsid w:val="00816489"/>
    <w:rsid w:val="00816B8E"/>
    <w:rsid w:val="0082649A"/>
    <w:rsid w:val="00854BD0"/>
    <w:rsid w:val="0085582D"/>
    <w:rsid w:val="00860CAB"/>
    <w:rsid w:val="008A3598"/>
    <w:rsid w:val="00930016"/>
    <w:rsid w:val="009362FB"/>
    <w:rsid w:val="00941282"/>
    <w:rsid w:val="00950A48"/>
    <w:rsid w:val="00990C13"/>
    <w:rsid w:val="009A2B09"/>
    <w:rsid w:val="009E1287"/>
    <w:rsid w:val="00A169E0"/>
    <w:rsid w:val="00A22303"/>
    <w:rsid w:val="00A270F5"/>
    <w:rsid w:val="00A37A1F"/>
    <w:rsid w:val="00AC1FA4"/>
    <w:rsid w:val="00AD4BC9"/>
    <w:rsid w:val="00AD7B55"/>
    <w:rsid w:val="00AE1C00"/>
    <w:rsid w:val="00AF718A"/>
    <w:rsid w:val="00B12484"/>
    <w:rsid w:val="00B13AEB"/>
    <w:rsid w:val="00B4635D"/>
    <w:rsid w:val="00B81EA1"/>
    <w:rsid w:val="00B8366F"/>
    <w:rsid w:val="00BB46F6"/>
    <w:rsid w:val="00BD2B17"/>
    <w:rsid w:val="00C25525"/>
    <w:rsid w:val="00C3057B"/>
    <w:rsid w:val="00C35D65"/>
    <w:rsid w:val="00CE33BE"/>
    <w:rsid w:val="00CE6331"/>
    <w:rsid w:val="00D32FC3"/>
    <w:rsid w:val="00D86481"/>
    <w:rsid w:val="00DB2A4F"/>
    <w:rsid w:val="00DD2974"/>
    <w:rsid w:val="00DD5BA3"/>
    <w:rsid w:val="00DE14C9"/>
    <w:rsid w:val="00DE5853"/>
    <w:rsid w:val="00E05AC3"/>
    <w:rsid w:val="00E221AA"/>
    <w:rsid w:val="00E325C9"/>
    <w:rsid w:val="00E836A8"/>
    <w:rsid w:val="00E9459A"/>
    <w:rsid w:val="00EC2C17"/>
    <w:rsid w:val="00EE7CA8"/>
    <w:rsid w:val="00F15749"/>
    <w:rsid w:val="00FE0424"/>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 w:type="character" w:customStyle="1" w:styleId="st">
    <w:name w:val="st"/>
    <w:basedOn w:val="DefaultParagraphFont"/>
    <w:rsid w:val="00CE33BE"/>
  </w:style>
  <w:style w:type="character" w:styleId="Emphasis">
    <w:name w:val="Emphasis"/>
    <w:basedOn w:val="DefaultParagraphFont"/>
    <w:uiPriority w:val="20"/>
    <w:qFormat/>
    <w:rsid w:val="00CE33BE"/>
    <w:rPr>
      <w:i/>
      <w:iCs/>
    </w:rPr>
  </w:style>
  <w:style w:type="paragraph" w:styleId="NoSpacing">
    <w:name w:val="No Spacing"/>
    <w:uiPriority w:val="1"/>
    <w:qFormat/>
    <w:rsid w:val="00CE33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1A26-D89F-4DC8-BA9D-8E93F2CB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Store Asst</cp:lastModifiedBy>
  <cp:revision>27</cp:revision>
  <cp:lastPrinted>2014-12-09T07:05:00Z</cp:lastPrinted>
  <dcterms:created xsi:type="dcterms:W3CDTF">2014-11-26T06:39:00Z</dcterms:created>
  <dcterms:modified xsi:type="dcterms:W3CDTF">2014-12-09T07:06:00Z</dcterms:modified>
</cp:coreProperties>
</file>